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9" w:rsidRPr="00E66A72" w:rsidRDefault="00C06649" w:rsidP="00C06649">
      <w:pPr>
        <w:spacing w:before="120" w:line="240" w:lineRule="auto"/>
        <w:jc w:val="right"/>
        <w:rPr>
          <w:rFonts w:ascii="Arial" w:eastAsia="Calibri" w:hAnsi="Arial" w:cs="Arial"/>
          <w:b/>
          <w:bCs/>
          <w:lang w:eastAsia="en-US"/>
        </w:rPr>
      </w:pPr>
      <w:r w:rsidRPr="00E66A72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E66A72" w:rsidRPr="00E66A72">
        <w:rPr>
          <w:rFonts w:ascii="Arial" w:eastAsia="Calibri" w:hAnsi="Arial" w:cs="Arial"/>
          <w:b/>
          <w:bCs/>
          <w:lang w:eastAsia="en-US"/>
        </w:rPr>
        <w:t>2</w:t>
      </w:r>
    </w:p>
    <w:p w:rsidR="00BC0659" w:rsidRPr="00E66A72" w:rsidRDefault="002B39DC" w:rsidP="00C06649">
      <w:pPr>
        <w:spacing w:before="120"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E66A72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E66A72">
        <w:rPr>
          <w:rFonts w:ascii="Arial" w:eastAsia="Calibri" w:hAnsi="Arial" w:cs="Arial"/>
          <w:b/>
          <w:bCs/>
          <w:lang w:eastAsia="en-US"/>
        </w:rPr>
        <w:t>szacowania</w:t>
      </w:r>
    </w:p>
    <w:p w:rsidR="00BC0659" w:rsidRPr="00E66A72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E66A72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E66A72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:rsidR="00357E5A" w:rsidRPr="00E66A72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 xml:space="preserve">Regionalna Dyrekcja Ochrony Środowiska w </w:t>
      </w:r>
      <w:r w:rsidR="00940181" w:rsidRPr="00E66A72">
        <w:rPr>
          <w:rFonts w:ascii="Arial" w:eastAsia="Calibri" w:hAnsi="Arial" w:cs="Arial"/>
          <w:color w:val="000000"/>
          <w:lang w:eastAsia="en-US"/>
        </w:rPr>
        <w:t>Gorzowie Wielkopolskim</w:t>
      </w:r>
    </w:p>
    <w:p w:rsidR="00BC0659" w:rsidRPr="00E66A72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40181" w:rsidRPr="00E66A72">
        <w:rPr>
          <w:rFonts w:ascii="Arial" w:eastAsia="Calibri" w:hAnsi="Arial" w:cs="Arial"/>
          <w:color w:val="000000"/>
          <w:lang w:eastAsia="en-US"/>
        </w:rPr>
        <w:t>Jagiellończyka 13</w:t>
      </w:r>
    </w:p>
    <w:p w:rsidR="00BC0659" w:rsidRPr="00E66A72" w:rsidRDefault="00940181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>66-400 Gorzów Wielkopolski</w:t>
      </w:r>
    </w:p>
    <w:p w:rsidR="00AD7088" w:rsidRPr="00E66A72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ED4E06" w:rsidRPr="00E66A72" w:rsidRDefault="00ED4E06" w:rsidP="00F54B84">
      <w:pPr>
        <w:jc w:val="both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Przedmiotem zamówienia jest wykonanie </w:t>
      </w:r>
      <w:r w:rsidR="002525D1" w:rsidRPr="00E66A72">
        <w:rPr>
          <w:rFonts w:ascii="Arial" w:hAnsi="Arial" w:cs="Arial"/>
          <w:b/>
          <w:color w:val="000000"/>
        </w:rPr>
        <w:t xml:space="preserve">ekspertyzy przyrodniczej w ramach projektu nr POIS.02.04.00-00-0191/16 pod nazwą „Inwentaryzacja cennych siedlisk przyrodniczych kraju, gatunków występujących w ich obrębie oraz stworzenie Banku Danych </w:t>
      </w:r>
      <w:r w:rsidR="000634B1" w:rsidRPr="00E66A72">
        <w:rPr>
          <w:rFonts w:ascii="Arial" w:hAnsi="Arial" w:cs="Arial"/>
          <w:b/>
          <w:color w:val="000000"/>
        </w:rPr>
        <w:br/>
      </w:r>
      <w:r w:rsidR="002525D1" w:rsidRPr="00E66A72">
        <w:rPr>
          <w:rFonts w:ascii="Arial" w:hAnsi="Arial" w:cs="Arial"/>
          <w:b/>
          <w:color w:val="000000"/>
        </w:rPr>
        <w:t xml:space="preserve">o Zasobach Przyrodniczych”  - Uzupełnienie stanu wiedzy </w:t>
      </w:r>
      <w:r w:rsidR="002525D1" w:rsidRPr="00E66A72">
        <w:rPr>
          <w:rFonts w:ascii="Arial" w:hAnsi="Arial" w:cs="Arial"/>
          <w:color w:val="000000"/>
        </w:rPr>
        <w:t xml:space="preserve">polegającej na </w:t>
      </w:r>
      <w:r w:rsidRPr="00E66A72">
        <w:rPr>
          <w:rFonts w:ascii="Arial" w:hAnsi="Arial" w:cs="Arial"/>
        </w:rPr>
        <w:t xml:space="preserve">inwentaryzacji przyrodniczej mającej na celu uzupełnienie stanu wiedzy o przedmiotach ochrony </w:t>
      </w:r>
      <w:r w:rsidR="000634B1" w:rsidRPr="00E66A72">
        <w:rPr>
          <w:rFonts w:ascii="Arial" w:hAnsi="Arial" w:cs="Arial"/>
        </w:rPr>
        <w:br/>
      </w:r>
      <w:r w:rsidRPr="00E66A72">
        <w:rPr>
          <w:rFonts w:ascii="Arial" w:hAnsi="Arial" w:cs="Arial"/>
        </w:rPr>
        <w:t>i uwarunkowaniach ich ochrony w obszarach Natura 2000 Nowosolska Dolina Odry PLH 080014, Kargowskie Zakola Odry PLH080012, Ujście Noteci PLH080006, Dolina Leniwej Obry PLH 080001</w:t>
      </w:r>
      <w:r w:rsidR="00AD2353">
        <w:rPr>
          <w:rFonts w:ascii="Arial" w:hAnsi="Arial" w:cs="Arial"/>
        </w:rPr>
        <w:t xml:space="preserve">, </w:t>
      </w:r>
      <w:r w:rsidR="00AD2353" w:rsidRPr="00256D9D">
        <w:rPr>
          <w:rFonts w:ascii="Arial" w:hAnsi="Arial" w:cs="Arial"/>
        </w:rPr>
        <w:t>Ujście Ilanki PLH080049, Dolina Ilanki PLH 080009, Rynna Jezior Obrzańskich PLH 080002</w:t>
      </w:r>
      <w:r w:rsidR="002525D1" w:rsidRPr="00E66A72">
        <w:rPr>
          <w:rFonts w:ascii="Arial" w:hAnsi="Arial" w:cs="Arial"/>
        </w:rPr>
        <w:t xml:space="preserve">. </w:t>
      </w:r>
      <w:r w:rsidRPr="00E66A72">
        <w:rPr>
          <w:rFonts w:ascii="Arial" w:hAnsi="Arial" w:cs="Arial"/>
        </w:rPr>
        <w:t xml:space="preserve">Przedmiot zamówienia podzielony jest na </w:t>
      </w:r>
      <w:r w:rsidR="00AD2353">
        <w:rPr>
          <w:rFonts w:ascii="Arial" w:hAnsi="Arial" w:cs="Arial"/>
        </w:rPr>
        <w:t>7</w:t>
      </w:r>
      <w:r w:rsidRPr="00E66A72">
        <w:rPr>
          <w:rFonts w:ascii="Arial" w:hAnsi="Arial" w:cs="Arial"/>
        </w:rPr>
        <w:t xml:space="preserve"> zadań, Wykonawca może złożyć ofertę w odniesieniu do jednego, kilku lub wszystkich zadań.</w:t>
      </w:r>
    </w:p>
    <w:p w:rsidR="00F13842" w:rsidRPr="00E66A72" w:rsidRDefault="00F64A31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Nazwa i adres wykonawcy: </w:t>
      </w:r>
      <w:r w:rsidR="00E66A72">
        <w:rPr>
          <w:rFonts w:ascii="Arial" w:hAnsi="Arial" w:cs="Arial"/>
        </w:rPr>
        <w:br/>
      </w:r>
      <w:r w:rsidR="00E66A72">
        <w:rPr>
          <w:rFonts w:ascii="Arial" w:hAnsi="Arial" w:cs="Arial"/>
        </w:rPr>
        <w:br/>
      </w:r>
      <w:r w:rsidR="004F4889" w:rsidRPr="00E66A72">
        <w:rPr>
          <w:rFonts w:ascii="Arial" w:hAnsi="Arial" w:cs="Arial"/>
        </w:rPr>
        <w:t>…………………………..</w:t>
      </w:r>
      <w:r w:rsidR="00F13842" w:rsidRPr="00E66A72">
        <w:rPr>
          <w:rFonts w:ascii="Arial" w:hAnsi="Arial" w:cs="Arial"/>
        </w:rPr>
        <w:t>……………………………………………………………………</w:t>
      </w:r>
    </w:p>
    <w:p w:rsidR="004F4889" w:rsidRDefault="004F4889" w:rsidP="004F4889">
      <w:pPr>
        <w:pStyle w:val="Akapitzlist"/>
        <w:spacing w:after="0"/>
        <w:ind w:left="142"/>
        <w:rPr>
          <w:rFonts w:ascii="Arial" w:hAnsi="Arial" w:cs="Arial"/>
        </w:rPr>
      </w:pPr>
      <w:r w:rsidRPr="00E66A72">
        <w:rPr>
          <w:rFonts w:ascii="Arial" w:hAnsi="Arial" w:cs="Arial"/>
        </w:rPr>
        <w:t>…………………………………………………………………………………………………</w:t>
      </w:r>
    </w:p>
    <w:p w:rsidR="00E66A72" w:rsidRDefault="00E66A72" w:rsidP="004F4889">
      <w:pPr>
        <w:pStyle w:val="Akapitzlist"/>
        <w:spacing w:after="0"/>
        <w:ind w:left="142"/>
        <w:rPr>
          <w:rFonts w:ascii="Arial" w:hAnsi="Arial" w:cs="Arial"/>
        </w:rPr>
      </w:pPr>
      <w:r w:rsidRPr="00E66A72">
        <w:rPr>
          <w:rFonts w:ascii="Arial" w:hAnsi="Arial" w:cs="Arial"/>
        </w:rPr>
        <w:t>…………………………………………………………………………………………………</w:t>
      </w:r>
    </w:p>
    <w:p w:rsidR="00E66A72" w:rsidRDefault="00E66A72" w:rsidP="004F4889">
      <w:pPr>
        <w:pStyle w:val="Akapitzlist"/>
        <w:spacing w:after="0"/>
        <w:ind w:left="142"/>
        <w:rPr>
          <w:rFonts w:ascii="Arial" w:hAnsi="Arial" w:cs="Arial"/>
        </w:rPr>
      </w:pPr>
    </w:p>
    <w:p w:rsidR="00C06649" w:rsidRPr="00E66A72" w:rsidRDefault="00C06649" w:rsidP="004F4889">
      <w:pPr>
        <w:pStyle w:val="Akapitzlist"/>
        <w:spacing w:after="0"/>
        <w:ind w:left="142"/>
        <w:rPr>
          <w:rFonts w:ascii="Arial" w:hAnsi="Arial" w:cs="Arial"/>
        </w:rPr>
      </w:pPr>
    </w:p>
    <w:tbl>
      <w:tblPr>
        <w:tblStyle w:val="Tabela-Siatka"/>
        <w:tblW w:w="9492" w:type="dxa"/>
        <w:jc w:val="center"/>
        <w:tblLayout w:type="fixed"/>
        <w:tblLook w:val="04A0"/>
      </w:tblPr>
      <w:tblGrid>
        <w:gridCol w:w="1061"/>
        <w:gridCol w:w="5171"/>
        <w:gridCol w:w="1134"/>
        <w:gridCol w:w="935"/>
        <w:gridCol w:w="1191"/>
      </w:tblGrid>
      <w:tr w:rsidR="00A67558" w:rsidRPr="00E66A72" w:rsidTr="00E66A72">
        <w:trPr>
          <w:cantSplit/>
          <w:jc w:val="center"/>
        </w:trPr>
        <w:tc>
          <w:tcPr>
            <w:tcW w:w="1061" w:type="dxa"/>
            <w:vMerge w:val="restart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A67558" w:rsidRPr="00E66A72" w:rsidRDefault="00A67558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  <w:b/>
              </w:rPr>
              <w:t>Nr zadania</w:t>
            </w:r>
          </w:p>
        </w:tc>
        <w:tc>
          <w:tcPr>
            <w:tcW w:w="5171" w:type="dxa"/>
            <w:vMerge w:val="restart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A67558" w:rsidRPr="00E66A72" w:rsidRDefault="00A67558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Szacunkowa wartość całkowita zamówienia (PLN)</w:t>
            </w:r>
          </w:p>
        </w:tc>
        <w:bookmarkStart w:id="0" w:name="_GoBack"/>
        <w:bookmarkEnd w:id="0"/>
      </w:tr>
      <w:tr w:rsidR="00A67558" w:rsidRPr="00E66A72" w:rsidTr="00E66A72">
        <w:trPr>
          <w:cantSplit/>
          <w:jc w:val="center"/>
        </w:trPr>
        <w:tc>
          <w:tcPr>
            <w:tcW w:w="1061" w:type="dxa"/>
            <w:vMerge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171" w:type="dxa"/>
            <w:vMerge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935" w:type="dxa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% VAT</w:t>
            </w:r>
          </w:p>
        </w:tc>
        <w:tc>
          <w:tcPr>
            <w:tcW w:w="1191" w:type="dxa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brutto</w:t>
            </w:r>
          </w:p>
        </w:tc>
      </w:tr>
      <w:tr w:rsidR="00A67558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>Zadanie 1</w:t>
            </w:r>
          </w:p>
        </w:tc>
        <w:tc>
          <w:tcPr>
            <w:tcW w:w="5171" w:type="dxa"/>
            <w:vAlign w:val="center"/>
          </w:tcPr>
          <w:p w:rsidR="002525D1" w:rsidRDefault="00ED4E06" w:rsidP="00AD2353">
            <w:pPr>
              <w:jc w:val="both"/>
              <w:rPr>
                <w:rFonts w:ascii="Arial" w:hAnsi="Arial" w:cs="Arial"/>
                <w:color w:val="000000"/>
              </w:rPr>
            </w:pPr>
            <w:r w:rsidRPr="00E66A72">
              <w:rPr>
                <w:rFonts w:ascii="Arial" w:hAnsi="Arial" w:cs="Arial"/>
              </w:rPr>
              <w:t>Inwentaryzacja przyrodnicza obszaru Natura 2000 Nowosolska Dolina Odry PLH080014</w:t>
            </w:r>
            <w:r w:rsidRPr="00E66A72">
              <w:rPr>
                <w:rFonts w:ascii="Arial" w:hAnsi="Arial" w:cs="Arial"/>
              </w:rPr>
              <w:br/>
              <w:t>pod kątem występowania</w:t>
            </w:r>
            <w:r w:rsidR="00AD2353" w:rsidRPr="00E66A72">
              <w:rPr>
                <w:rFonts w:ascii="Arial" w:hAnsi="Arial" w:cs="Arial"/>
              </w:rPr>
              <w:t xml:space="preserve"> kumaka nizinnego</w:t>
            </w:r>
            <w:r w:rsidR="00AD2353">
              <w:rPr>
                <w:rFonts w:ascii="Arial" w:hAnsi="Arial" w:cs="Arial"/>
              </w:rPr>
              <w:t xml:space="preserve">, </w:t>
            </w:r>
            <w:r w:rsidR="00AD2353" w:rsidRPr="00E66A72">
              <w:rPr>
                <w:rFonts w:ascii="Arial" w:hAnsi="Arial" w:cs="Arial"/>
              </w:rPr>
              <w:t xml:space="preserve"> traszki grzebieniastej</w:t>
            </w:r>
            <w:r w:rsidR="00691605">
              <w:rPr>
                <w:rFonts w:ascii="Arial" w:hAnsi="Arial" w:cs="Arial"/>
              </w:rPr>
              <w:t>,</w:t>
            </w:r>
            <w:r w:rsidR="00AD2353" w:rsidRPr="00E66A72">
              <w:rPr>
                <w:rFonts w:ascii="Arial" w:hAnsi="Arial" w:cs="Arial"/>
              </w:rPr>
              <w:t xml:space="preserve"> </w:t>
            </w:r>
            <w:r w:rsidRPr="00E66A72">
              <w:rPr>
                <w:rFonts w:ascii="Arial" w:hAnsi="Arial" w:cs="Arial"/>
              </w:rPr>
              <w:t xml:space="preserve">czerwończyka nieparka </w:t>
            </w:r>
            <w:r w:rsidR="00AD2353" w:rsidRPr="00E66A72">
              <w:rPr>
                <w:rFonts w:ascii="Arial" w:hAnsi="Arial" w:cs="Arial"/>
                <w:color w:val="000000"/>
              </w:rPr>
              <w:t>mając</w:t>
            </w:r>
            <w:r w:rsidR="00691605">
              <w:rPr>
                <w:rFonts w:ascii="Arial" w:hAnsi="Arial" w:cs="Arial"/>
                <w:color w:val="000000"/>
              </w:rPr>
              <w:t>a</w:t>
            </w:r>
            <w:r w:rsidR="00AD2353" w:rsidRPr="00E66A72">
              <w:rPr>
                <w:rFonts w:ascii="Arial" w:hAnsi="Arial" w:cs="Arial"/>
                <w:color w:val="000000"/>
              </w:rPr>
              <w:t xml:space="preserve"> na celu określenie wielkości zasobów tych gatunków występujących w obszarze oraz dokonanie oceny stanu ich ochrony wraz ze wskazaniem zagrożeń i w uzasadnionym przypadku wskazanie dodatkowych działań ochronnych.</w:t>
            </w:r>
          </w:p>
          <w:p w:rsidR="00E66A72" w:rsidRPr="00E66A72" w:rsidRDefault="00E66A72" w:rsidP="000634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>Zadanie 2</w:t>
            </w:r>
          </w:p>
        </w:tc>
        <w:tc>
          <w:tcPr>
            <w:tcW w:w="5171" w:type="dxa"/>
            <w:vAlign w:val="center"/>
          </w:tcPr>
          <w:p w:rsidR="00AD2353" w:rsidRDefault="00AD2353" w:rsidP="00AD2353">
            <w:pPr>
              <w:jc w:val="both"/>
              <w:rPr>
                <w:rFonts w:ascii="Arial" w:hAnsi="Arial" w:cs="Arial"/>
                <w:color w:val="000000"/>
              </w:rPr>
            </w:pPr>
            <w:r w:rsidRPr="00E66A72">
              <w:rPr>
                <w:rFonts w:ascii="Arial" w:hAnsi="Arial" w:cs="Arial"/>
              </w:rPr>
              <w:t>Inwentaryzacja przyrodnicza obszaru Natura 2000 Kargowskie Zakola Odry PLH080012 pod kątem występowania mopka</w:t>
            </w:r>
            <w:r w:rsidR="00691605">
              <w:rPr>
                <w:rFonts w:ascii="Arial" w:hAnsi="Arial" w:cs="Arial"/>
              </w:rPr>
              <w:t>,</w:t>
            </w:r>
            <w:r w:rsidRPr="00E66A72">
              <w:rPr>
                <w:rFonts w:ascii="Arial" w:hAnsi="Arial" w:cs="Arial"/>
              </w:rPr>
              <w:t xml:space="preserve"> nocka dużego </w:t>
            </w:r>
            <w:r>
              <w:rPr>
                <w:rFonts w:ascii="Arial" w:hAnsi="Arial" w:cs="Arial"/>
              </w:rPr>
              <w:t xml:space="preserve">oraz </w:t>
            </w:r>
            <w:r w:rsidRPr="00E66A72">
              <w:rPr>
                <w:rFonts w:ascii="Arial" w:hAnsi="Arial" w:cs="Arial"/>
              </w:rPr>
              <w:t xml:space="preserve">kumaka nizinnego </w:t>
            </w:r>
            <w:r w:rsidRPr="00E66A72">
              <w:rPr>
                <w:rFonts w:ascii="Arial" w:hAnsi="Arial" w:cs="Arial"/>
                <w:color w:val="000000"/>
              </w:rPr>
              <w:t>mając</w:t>
            </w:r>
            <w:r w:rsidR="00691605">
              <w:rPr>
                <w:rFonts w:ascii="Arial" w:hAnsi="Arial" w:cs="Arial"/>
                <w:color w:val="000000"/>
              </w:rPr>
              <w:t>a</w:t>
            </w:r>
            <w:r w:rsidRPr="00E66A72">
              <w:rPr>
                <w:rFonts w:ascii="Arial" w:hAnsi="Arial" w:cs="Arial"/>
                <w:color w:val="000000"/>
              </w:rPr>
              <w:t xml:space="preserve"> na celu określenie wielkości zasobów tych gatunków występujących w obszarze oraz dokonanie oceny stanu ich ochrony wraz ze wskazaniem zagrożeń i w uzasadnionym przypadku wskazanie dodatkowych działań ochronnych.</w:t>
            </w:r>
          </w:p>
          <w:p w:rsidR="00E66A72" w:rsidRPr="00E66A72" w:rsidRDefault="00E66A72" w:rsidP="00AD23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lastRenderedPageBreak/>
              <w:t>Zadanie 3</w:t>
            </w:r>
          </w:p>
        </w:tc>
        <w:tc>
          <w:tcPr>
            <w:tcW w:w="5171" w:type="dxa"/>
            <w:vAlign w:val="center"/>
          </w:tcPr>
          <w:p w:rsidR="00E66A72" w:rsidRPr="00E66A72" w:rsidRDefault="00AD2353" w:rsidP="00AD2353">
            <w:pPr>
              <w:jc w:val="both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 xml:space="preserve">Inwentaryzacja przyrodnicza obszaru Natura 2000 Ujście Noteci PLH080006 pod kątem występowania siedliska 3270 w zakresie ustalenia wielkości zasobów siedliska w obszarze oraz dokonanie oceny stanu jego </w:t>
            </w:r>
            <w:r w:rsidRPr="00E66A72">
              <w:rPr>
                <w:rFonts w:ascii="Arial" w:hAnsi="Arial" w:cs="Arial"/>
                <w:color w:val="000000"/>
              </w:rPr>
              <w:t>zachowania wraz z zaplanowaniem w uzasadnionym przypadku dodatkowych działań ochronnych.</w:t>
            </w:r>
          </w:p>
        </w:tc>
        <w:tc>
          <w:tcPr>
            <w:tcW w:w="1134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E66A72" w:rsidRDefault="00A67558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>Zadanie 4</w:t>
            </w:r>
          </w:p>
        </w:tc>
        <w:tc>
          <w:tcPr>
            <w:tcW w:w="5171" w:type="dxa"/>
            <w:vAlign w:val="center"/>
          </w:tcPr>
          <w:p w:rsidR="00AD2353" w:rsidRPr="00256D9D" w:rsidRDefault="00AD2353" w:rsidP="00AD2353">
            <w:pPr>
              <w:jc w:val="both"/>
              <w:rPr>
                <w:rFonts w:ascii="Arial" w:hAnsi="Arial" w:cs="Arial"/>
              </w:rPr>
            </w:pPr>
            <w:r w:rsidRPr="00256D9D">
              <w:rPr>
                <w:rFonts w:ascii="Arial" w:hAnsi="Arial" w:cs="Arial"/>
              </w:rPr>
              <w:t>Inwentaryzacja przyrodnicza obszaru Natura 2000 Dolina Leniwej Obry PLH080001, pod kątem występowania siedlisk: 3150, 7140, 91T0 mając</w:t>
            </w:r>
            <w:r w:rsidR="00691605">
              <w:rPr>
                <w:rFonts w:ascii="Arial" w:hAnsi="Arial" w:cs="Arial"/>
              </w:rPr>
              <w:t>a</w:t>
            </w:r>
            <w:r w:rsidRPr="00256D9D">
              <w:rPr>
                <w:rFonts w:ascii="Arial" w:hAnsi="Arial" w:cs="Arial"/>
              </w:rPr>
              <w:t xml:space="preserve"> na celu określenie wielkości zasobów siedliska przyrodniczego (powierzchnie siedlisk i rozmieszczenie przestrzenne) występującego w obszarze oraz dokonanie oceny stanu jego ochrony wraz ze wskazaniem zagrożeń i w uzasadnionym przypadku, dodatkowych działań ochronnych.</w:t>
            </w:r>
            <w:r>
              <w:rPr>
                <w:rFonts w:ascii="Arial" w:hAnsi="Arial" w:cs="Arial"/>
              </w:rPr>
              <w:t xml:space="preserve"> </w:t>
            </w:r>
          </w:p>
          <w:p w:rsidR="00AD2353" w:rsidRPr="00256D9D" w:rsidRDefault="00AD2353" w:rsidP="00AD2353">
            <w:pPr>
              <w:jc w:val="both"/>
              <w:rPr>
                <w:rFonts w:ascii="Arial" w:hAnsi="Arial" w:cs="Arial"/>
                <w:color w:val="000000"/>
              </w:rPr>
            </w:pPr>
            <w:r w:rsidRPr="00256D9D">
              <w:rPr>
                <w:rFonts w:ascii="Arial" w:hAnsi="Arial" w:cs="Arial"/>
              </w:rPr>
              <w:t>Inwentaryzacja przyrodnicza obszaru Natura 2000 Dolina Leniwej Obry PLH080001,  pod kątem występowania kumaka nizinnego</w:t>
            </w:r>
            <w:r>
              <w:rPr>
                <w:rFonts w:ascii="Arial" w:hAnsi="Arial" w:cs="Arial"/>
              </w:rPr>
              <w:t>, czerwończyka nieparka oraz piskorza</w:t>
            </w:r>
            <w:r w:rsidRPr="00256D9D">
              <w:rPr>
                <w:rFonts w:ascii="Arial" w:hAnsi="Arial" w:cs="Arial"/>
              </w:rPr>
              <w:t xml:space="preserve"> </w:t>
            </w:r>
            <w:r w:rsidRPr="00256D9D">
              <w:rPr>
                <w:rFonts w:ascii="Arial" w:hAnsi="Arial" w:cs="Arial"/>
                <w:color w:val="000000"/>
              </w:rPr>
              <w:t>mając</w:t>
            </w:r>
            <w:r w:rsidR="00691605">
              <w:rPr>
                <w:rFonts w:ascii="Arial" w:hAnsi="Arial" w:cs="Arial"/>
                <w:color w:val="000000"/>
              </w:rPr>
              <w:t>a</w:t>
            </w:r>
            <w:r w:rsidRPr="00256D9D">
              <w:rPr>
                <w:rFonts w:ascii="Arial" w:hAnsi="Arial" w:cs="Arial"/>
                <w:color w:val="000000"/>
              </w:rPr>
              <w:t xml:space="preserve"> na celu określenie wielkości zasobów gatunku (podanie liczby stanowisk gatunku, powierzchni zajmowanych przez ni</w:t>
            </w:r>
            <w:r>
              <w:rPr>
                <w:rFonts w:ascii="Arial" w:hAnsi="Arial" w:cs="Arial"/>
                <w:color w:val="000000"/>
              </w:rPr>
              <w:t>ch</w:t>
            </w:r>
            <w:r w:rsidRPr="00256D9D">
              <w:rPr>
                <w:rFonts w:ascii="Arial" w:hAnsi="Arial" w:cs="Arial"/>
                <w:color w:val="000000"/>
              </w:rPr>
              <w:t xml:space="preserve"> siedlisk oraz rozmieszczenia przestrzennego) w badanym obszarze oraz dokonanie oceny stanu </w:t>
            </w:r>
            <w:r>
              <w:rPr>
                <w:rFonts w:ascii="Arial" w:hAnsi="Arial" w:cs="Arial"/>
                <w:color w:val="000000"/>
              </w:rPr>
              <w:t>ich</w:t>
            </w:r>
            <w:r w:rsidRPr="00256D9D">
              <w:rPr>
                <w:rFonts w:ascii="Arial" w:hAnsi="Arial" w:cs="Arial"/>
                <w:color w:val="000000"/>
              </w:rPr>
              <w:t xml:space="preserve"> ochrony wraz ze wskazaniem zagrożeń i w uzasadnionym przypadku wskazanie dodatkowych działań ochronnych.</w:t>
            </w:r>
          </w:p>
          <w:p w:rsidR="002525D1" w:rsidRPr="00E66A72" w:rsidRDefault="002525D1" w:rsidP="000634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E66A72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D4E06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ED4E06" w:rsidRPr="00E66A72" w:rsidRDefault="00ED4E06" w:rsidP="00ED4E06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>Zadanie 5</w:t>
            </w:r>
          </w:p>
        </w:tc>
        <w:tc>
          <w:tcPr>
            <w:tcW w:w="5171" w:type="dxa"/>
            <w:vAlign w:val="center"/>
          </w:tcPr>
          <w:p w:rsidR="00691605" w:rsidRDefault="00AD2353" w:rsidP="00691605">
            <w:pPr>
              <w:jc w:val="both"/>
              <w:rPr>
                <w:rFonts w:ascii="Arial" w:hAnsi="Arial" w:cs="Arial"/>
              </w:rPr>
            </w:pPr>
            <w:r w:rsidRPr="00256D9D">
              <w:rPr>
                <w:rFonts w:ascii="Arial" w:hAnsi="Arial" w:cs="Arial"/>
              </w:rPr>
              <w:t xml:space="preserve">Inwentaryzacja przyrodnicza obszaru Natura 2000 </w:t>
            </w:r>
            <w:r w:rsidRPr="007C34AA">
              <w:rPr>
                <w:rFonts w:ascii="Arial" w:hAnsi="Arial" w:cs="Arial"/>
              </w:rPr>
              <w:t>Ujście Ilanki PLH080049</w:t>
            </w:r>
            <w:r w:rsidRPr="00256D9D">
              <w:rPr>
                <w:rFonts w:ascii="Arial" w:hAnsi="Arial" w:cs="Arial"/>
              </w:rPr>
              <w:t xml:space="preserve">, pod kątem występowania </w:t>
            </w:r>
            <w:r>
              <w:rPr>
                <w:rFonts w:ascii="Arial" w:hAnsi="Arial" w:cs="Arial"/>
              </w:rPr>
              <w:t xml:space="preserve">kumaka nizinnego, traszki grzebieniastej oraz </w:t>
            </w:r>
            <w:r w:rsidRPr="00256D9D">
              <w:rPr>
                <w:rFonts w:ascii="Arial" w:hAnsi="Arial" w:cs="Arial"/>
              </w:rPr>
              <w:t xml:space="preserve">piskorza </w:t>
            </w:r>
            <w:r w:rsidRPr="00256D9D">
              <w:rPr>
                <w:rFonts w:ascii="Arial" w:hAnsi="Arial" w:cs="Arial"/>
                <w:color w:val="000000"/>
              </w:rPr>
              <w:t>mając</w:t>
            </w:r>
            <w:r w:rsidR="00691605">
              <w:rPr>
                <w:rFonts w:ascii="Arial" w:hAnsi="Arial" w:cs="Arial"/>
                <w:color w:val="000000"/>
              </w:rPr>
              <w:t>a</w:t>
            </w:r>
            <w:r w:rsidRPr="00256D9D">
              <w:rPr>
                <w:rFonts w:ascii="Arial" w:hAnsi="Arial" w:cs="Arial"/>
                <w:color w:val="000000"/>
              </w:rPr>
              <w:t xml:space="preserve"> na celu określenie wielkości zasobów gatunku (podanie liczby stanowisk gatunku, powierzchni zajmowanych przez ni</w:t>
            </w:r>
            <w:r>
              <w:rPr>
                <w:rFonts w:ascii="Arial" w:hAnsi="Arial" w:cs="Arial"/>
                <w:color w:val="000000"/>
              </w:rPr>
              <w:t>ch</w:t>
            </w:r>
            <w:r w:rsidRPr="00256D9D">
              <w:rPr>
                <w:rFonts w:ascii="Arial" w:hAnsi="Arial" w:cs="Arial"/>
                <w:color w:val="000000"/>
              </w:rPr>
              <w:t xml:space="preserve"> siedlisk oraz rozmieszczenia przestrzennego) w badanym obszarze oraz dokonanie oceny stanu </w:t>
            </w:r>
            <w:r>
              <w:rPr>
                <w:rFonts w:ascii="Arial" w:hAnsi="Arial" w:cs="Arial"/>
                <w:color w:val="000000"/>
              </w:rPr>
              <w:t>ich</w:t>
            </w:r>
            <w:r w:rsidRPr="00256D9D">
              <w:rPr>
                <w:rFonts w:ascii="Arial" w:hAnsi="Arial" w:cs="Arial"/>
                <w:color w:val="000000"/>
              </w:rPr>
              <w:t xml:space="preserve"> ochrony wraz ze wskazaniem zagrożeń i w uzasadnionym przypadku wskazanie dodatkowych działań ochronnych.</w:t>
            </w:r>
            <w:r w:rsidR="00691605" w:rsidRPr="00E66A72">
              <w:rPr>
                <w:rFonts w:ascii="Arial" w:hAnsi="Arial" w:cs="Arial"/>
              </w:rPr>
              <w:t xml:space="preserve"> </w:t>
            </w:r>
          </w:p>
          <w:p w:rsidR="002525D1" w:rsidRPr="00E66A72" w:rsidRDefault="00691605" w:rsidP="00691605">
            <w:pPr>
              <w:jc w:val="both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 xml:space="preserve">Inwentaryzacja przyrodnicza obszaru Natura 2000 </w:t>
            </w:r>
            <w:r w:rsidRPr="007C34AA">
              <w:rPr>
                <w:rFonts w:ascii="Arial" w:hAnsi="Arial" w:cs="Arial"/>
              </w:rPr>
              <w:t>Ujście Ilanki PLH080049</w:t>
            </w:r>
            <w:r>
              <w:rPr>
                <w:rFonts w:ascii="Arial" w:hAnsi="Arial" w:cs="Arial"/>
              </w:rPr>
              <w:t xml:space="preserve"> </w:t>
            </w:r>
            <w:r w:rsidRPr="00E66A72">
              <w:rPr>
                <w:rFonts w:ascii="Arial" w:hAnsi="Arial" w:cs="Arial"/>
              </w:rPr>
              <w:t xml:space="preserve">pod kątem występowania siedliska </w:t>
            </w:r>
            <w:r>
              <w:rPr>
                <w:rFonts w:ascii="Arial" w:hAnsi="Arial" w:cs="Arial"/>
              </w:rPr>
              <w:t>91I0</w:t>
            </w:r>
            <w:r w:rsidRPr="00E66A72">
              <w:rPr>
                <w:rFonts w:ascii="Arial" w:hAnsi="Arial" w:cs="Arial"/>
              </w:rPr>
              <w:t xml:space="preserve"> w zakresie ustalenia wielkości zasobów siedliska w obszarze oraz dokonanie oceny stanu jego </w:t>
            </w:r>
            <w:r w:rsidRPr="00E66A72">
              <w:rPr>
                <w:rFonts w:ascii="Arial" w:hAnsi="Arial" w:cs="Arial"/>
                <w:color w:val="000000"/>
              </w:rPr>
              <w:t>zachowania wraz z zaplanowaniem w uzasadnionym przypadku dodatkowych działań ochronnych.</w:t>
            </w:r>
          </w:p>
        </w:tc>
        <w:tc>
          <w:tcPr>
            <w:tcW w:w="1134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D4E06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ED4E06" w:rsidRPr="00E66A72" w:rsidRDefault="00ED4E06" w:rsidP="00ED4E06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lastRenderedPageBreak/>
              <w:t>Zadanie 6</w:t>
            </w:r>
          </w:p>
        </w:tc>
        <w:tc>
          <w:tcPr>
            <w:tcW w:w="5171" w:type="dxa"/>
            <w:vAlign w:val="center"/>
          </w:tcPr>
          <w:p w:rsidR="00391B29" w:rsidRPr="00E66A72" w:rsidRDefault="00AD2353" w:rsidP="00AD2353">
            <w:pPr>
              <w:jc w:val="both"/>
              <w:rPr>
                <w:rFonts w:ascii="Arial" w:hAnsi="Arial" w:cs="Arial"/>
              </w:rPr>
            </w:pPr>
            <w:r w:rsidRPr="00256D9D">
              <w:rPr>
                <w:rFonts w:ascii="Arial" w:hAnsi="Arial" w:cs="Arial"/>
              </w:rPr>
              <w:t xml:space="preserve">Inwentaryzacja przyrodnicza obszaru Natura 2000 </w:t>
            </w:r>
            <w:r w:rsidRPr="007C34AA">
              <w:rPr>
                <w:rFonts w:ascii="Arial" w:hAnsi="Arial" w:cs="Arial"/>
              </w:rPr>
              <w:t>Dolina Ilanki PLH 080009</w:t>
            </w:r>
            <w:r w:rsidRPr="00256D9D">
              <w:rPr>
                <w:rFonts w:ascii="Arial" w:hAnsi="Arial" w:cs="Arial"/>
              </w:rPr>
              <w:t xml:space="preserve">, pod kątem występowania siedliska Siedlisko  6210 </w:t>
            </w:r>
            <w:r>
              <w:rPr>
                <w:rFonts w:ascii="Arial" w:hAnsi="Arial" w:cs="Arial"/>
              </w:rPr>
              <w:t>m</w:t>
            </w:r>
            <w:r w:rsidRPr="00256D9D">
              <w:rPr>
                <w:rFonts w:ascii="Arial" w:hAnsi="Arial" w:cs="Arial"/>
              </w:rPr>
              <w:t xml:space="preserve">urawy kserotermiczne w zakresie ustalenia wielkości zasobów siedliska w badanym obszarze (powierzchnie siedlisk i rozmieszczenie przestrzenne)  oraz dokonanie oceny stanu jego </w:t>
            </w:r>
            <w:r w:rsidRPr="00256D9D">
              <w:rPr>
                <w:rFonts w:ascii="Arial" w:hAnsi="Arial" w:cs="Arial"/>
                <w:color w:val="000000"/>
              </w:rPr>
              <w:t>zachowania wraz z zaplanowaniem w uzasadnionym przypadku dodatkowych działań ochronnych.</w:t>
            </w:r>
          </w:p>
        </w:tc>
        <w:tc>
          <w:tcPr>
            <w:tcW w:w="1134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D4E06" w:rsidRPr="00E66A72" w:rsidTr="00E66A72">
        <w:trPr>
          <w:cantSplit/>
          <w:jc w:val="center"/>
        </w:trPr>
        <w:tc>
          <w:tcPr>
            <w:tcW w:w="1061" w:type="dxa"/>
            <w:vAlign w:val="center"/>
          </w:tcPr>
          <w:p w:rsidR="00ED4E06" w:rsidRPr="00E66A72" w:rsidRDefault="00ED4E06" w:rsidP="00ED4E06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</w:rPr>
              <w:t>Zadanie 7</w:t>
            </w:r>
          </w:p>
        </w:tc>
        <w:tc>
          <w:tcPr>
            <w:tcW w:w="5171" w:type="dxa"/>
            <w:vAlign w:val="center"/>
          </w:tcPr>
          <w:p w:rsidR="002525D1" w:rsidRPr="00E66A72" w:rsidRDefault="00AD2353" w:rsidP="00691605">
            <w:pPr>
              <w:jc w:val="both"/>
              <w:rPr>
                <w:rFonts w:ascii="Arial" w:hAnsi="Arial" w:cs="Arial"/>
              </w:rPr>
            </w:pPr>
            <w:r w:rsidRPr="00256D9D">
              <w:rPr>
                <w:rFonts w:ascii="Arial" w:hAnsi="Arial" w:cs="Arial"/>
              </w:rPr>
              <w:t xml:space="preserve">Inwentaryzacja przyrodnicza obszaru Natura 2000 </w:t>
            </w:r>
            <w:r w:rsidRPr="00833643">
              <w:rPr>
                <w:rFonts w:ascii="Arial" w:hAnsi="Arial" w:cs="Arial"/>
              </w:rPr>
              <w:t>Rynna Jezior Obrzańskich PLH 080002</w:t>
            </w:r>
            <w:r w:rsidRPr="00256D9D">
              <w:rPr>
                <w:rFonts w:ascii="Arial" w:hAnsi="Arial" w:cs="Arial"/>
              </w:rPr>
              <w:t>, pod kątem występowania koz</w:t>
            </w:r>
            <w:r>
              <w:rPr>
                <w:rFonts w:ascii="Arial" w:hAnsi="Arial" w:cs="Arial"/>
              </w:rPr>
              <w:t>y</w:t>
            </w:r>
            <w:r w:rsidRPr="00256D9D">
              <w:rPr>
                <w:rFonts w:ascii="Arial" w:hAnsi="Arial" w:cs="Arial"/>
              </w:rPr>
              <w:t xml:space="preserve"> (Cobitis taenia)</w:t>
            </w:r>
            <w:r>
              <w:rPr>
                <w:rFonts w:ascii="Arial" w:hAnsi="Arial" w:cs="Arial"/>
              </w:rPr>
              <w:t xml:space="preserve"> oraz traszki grzebieniastej </w:t>
            </w:r>
            <w:r w:rsidRPr="00256D9D">
              <w:rPr>
                <w:rFonts w:ascii="Arial" w:hAnsi="Arial" w:cs="Arial"/>
                <w:color w:val="000000"/>
              </w:rPr>
              <w:t>mając</w:t>
            </w:r>
            <w:r w:rsidR="00691605">
              <w:rPr>
                <w:rFonts w:ascii="Arial" w:hAnsi="Arial" w:cs="Arial"/>
                <w:color w:val="000000"/>
              </w:rPr>
              <w:t>a</w:t>
            </w:r>
            <w:r w:rsidRPr="00256D9D">
              <w:rPr>
                <w:rFonts w:ascii="Arial" w:hAnsi="Arial" w:cs="Arial"/>
                <w:color w:val="000000"/>
              </w:rPr>
              <w:t xml:space="preserve"> na celu określenie wielkości zasobów gatunku (podanie liczby stanowisk gatunku, powierzchni zajmowanych przez ni</w:t>
            </w:r>
            <w:r>
              <w:rPr>
                <w:rFonts w:ascii="Arial" w:hAnsi="Arial" w:cs="Arial"/>
                <w:color w:val="000000"/>
              </w:rPr>
              <w:t>ch</w:t>
            </w:r>
            <w:r w:rsidRPr="00256D9D">
              <w:rPr>
                <w:rFonts w:ascii="Arial" w:hAnsi="Arial" w:cs="Arial"/>
                <w:color w:val="000000"/>
              </w:rPr>
              <w:t xml:space="preserve"> siedlisk oraz rozmieszczenia przestrzennego) w badanym obszarze oraz dokonanie oceny stanu </w:t>
            </w:r>
            <w:r>
              <w:rPr>
                <w:rFonts w:ascii="Arial" w:hAnsi="Arial" w:cs="Arial"/>
                <w:color w:val="000000"/>
              </w:rPr>
              <w:t>ich</w:t>
            </w:r>
            <w:r w:rsidRPr="00256D9D">
              <w:rPr>
                <w:rFonts w:ascii="Arial" w:hAnsi="Arial" w:cs="Arial"/>
                <w:color w:val="000000"/>
              </w:rPr>
              <w:t xml:space="preserve"> ochrony wraz ze wskazaniem zagrożeń i w uzasadnionym przypadku wskazanie dodatkowych działań ochronnych.</w:t>
            </w:r>
          </w:p>
        </w:tc>
        <w:tc>
          <w:tcPr>
            <w:tcW w:w="1134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ED4E06" w:rsidRPr="00E66A72" w:rsidRDefault="00ED4E06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A67558" w:rsidRPr="00E66A72" w:rsidRDefault="00A67558" w:rsidP="00A67558">
      <w:pPr>
        <w:pStyle w:val="Akapitzlist"/>
        <w:spacing w:after="0"/>
        <w:ind w:left="-142"/>
        <w:rPr>
          <w:rFonts w:ascii="Arial" w:hAnsi="Arial" w:cs="Arial"/>
        </w:rPr>
      </w:pPr>
    </w:p>
    <w:p w:rsidR="00BC0659" w:rsidRPr="00E66A72" w:rsidRDefault="00AD7088" w:rsidP="00BC0659">
      <w:pPr>
        <w:rPr>
          <w:rFonts w:ascii="Arial" w:hAnsi="Arial" w:cs="Arial"/>
          <w:i/>
        </w:rPr>
      </w:pPr>
      <w:r w:rsidRPr="00E66A72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</w:p>
    <w:p w:rsidR="00AD7088" w:rsidRPr="00E66A72" w:rsidRDefault="00AD7088" w:rsidP="00C22509">
      <w:pPr>
        <w:spacing w:after="0"/>
        <w:rPr>
          <w:rFonts w:ascii="Arial" w:hAnsi="Arial" w:cs="Arial"/>
        </w:rPr>
      </w:pPr>
    </w:p>
    <w:p w:rsidR="006A7146" w:rsidRPr="00E66A72" w:rsidRDefault="006A7146" w:rsidP="00C22509">
      <w:pPr>
        <w:spacing w:after="0"/>
        <w:rPr>
          <w:rFonts w:ascii="Arial" w:hAnsi="Arial" w:cs="Arial"/>
        </w:rPr>
      </w:pPr>
    </w:p>
    <w:p w:rsidR="00AD7088" w:rsidRPr="00E66A72" w:rsidRDefault="00AD7088" w:rsidP="00C22509">
      <w:pPr>
        <w:spacing w:after="0"/>
        <w:rPr>
          <w:rFonts w:ascii="Arial" w:hAnsi="Arial" w:cs="Arial"/>
        </w:rPr>
      </w:pPr>
    </w:p>
    <w:p w:rsidR="00BC0659" w:rsidRPr="00E66A72" w:rsidRDefault="004F4889" w:rsidP="00C22509">
      <w:pPr>
        <w:spacing w:after="0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 …………………………………...                                       </w:t>
      </w:r>
      <w:r w:rsidR="00BC0659" w:rsidRPr="00E66A72">
        <w:rPr>
          <w:rFonts w:ascii="Arial" w:hAnsi="Arial" w:cs="Arial"/>
        </w:rPr>
        <w:t>……………………………………</w:t>
      </w:r>
    </w:p>
    <w:p w:rsidR="00BC0659" w:rsidRPr="00E66A72" w:rsidRDefault="00BC0659" w:rsidP="00C22509">
      <w:pPr>
        <w:spacing w:after="0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      Miejscowość, data                                                            </w:t>
      </w:r>
      <w:r w:rsidR="00DC3E14" w:rsidRPr="00E66A72">
        <w:rPr>
          <w:rFonts w:ascii="Arial" w:hAnsi="Arial" w:cs="Arial"/>
        </w:rPr>
        <w:tab/>
      </w:r>
      <w:r w:rsidRPr="00E66A72">
        <w:rPr>
          <w:rFonts w:ascii="Arial" w:hAnsi="Arial" w:cs="Arial"/>
        </w:rPr>
        <w:t>podpis</w:t>
      </w:r>
      <w:r w:rsidR="00940181" w:rsidRPr="00E66A72">
        <w:rPr>
          <w:rFonts w:ascii="Arial" w:hAnsi="Arial" w:cs="Arial"/>
        </w:rPr>
        <w:t xml:space="preserve"> </w:t>
      </w:r>
      <w:r w:rsidRPr="00E66A72">
        <w:rPr>
          <w:rFonts w:ascii="Arial" w:hAnsi="Arial" w:cs="Arial"/>
        </w:rPr>
        <w:t xml:space="preserve">Wykonawcy    </w:t>
      </w:r>
    </w:p>
    <w:sectPr w:rsidR="00BC0659" w:rsidRPr="00E66A72" w:rsidSect="00C06649">
      <w:footerReference w:type="default" r:id="rId8"/>
      <w:pgSz w:w="11906" w:h="16838"/>
      <w:pgMar w:top="1276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E0" w:rsidRDefault="00642DE0" w:rsidP="002B39DC">
      <w:pPr>
        <w:spacing w:after="0" w:line="240" w:lineRule="auto"/>
      </w:pPr>
      <w:r>
        <w:separator/>
      </w:r>
    </w:p>
  </w:endnote>
  <w:endnote w:type="continuationSeparator" w:id="1">
    <w:p w:rsidR="00642DE0" w:rsidRDefault="00642DE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A5" w:rsidRDefault="00940181">
    <w:pPr>
      <w:pStyle w:val="Stopka"/>
    </w:pPr>
    <w:r>
      <w:rPr>
        <w:noProof/>
      </w:rPr>
      <w:drawing>
        <wp:inline distT="0" distB="0" distL="0" distR="0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E0" w:rsidRDefault="00642DE0" w:rsidP="002B39DC">
      <w:pPr>
        <w:spacing w:after="0" w:line="240" w:lineRule="auto"/>
      </w:pPr>
      <w:r>
        <w:separator/>
      </w:r>
    </w:p>
  </w:footnote>
  <w:footnote w:type="continuationSeparator" w:id="1">
    <w:p w:rsidR="00642DE0" w:rsidRDefault="00642DE0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2885"/>
    <w:multiLevelType w:val="hybridMultilevel"/>
    <w:tmpl w:val="1A9E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31E30"/>
    <w:rsid w:val="00004950"/>
    <w:rsid w:val="000323BC"/>
    <w:rsid w:val="000634B1"/>
    <w:rsid w:val="000640B3"/>
    <w:rsid w:val="00073470"/>
    <w:rsid w:val="000B557D"/>
    <w:rsid w:val="000C0925"/>
    <w:rsid w:val="000F55BD"/>
    <w:rsid w:val="00126C18"/>
    <w:rsid w:val="00132213"/>
    <w:rsid w:val="00176CF8"/>
    <w:rsid w:val="00246BCA"/>
    <w:rsid w:val="002525D1"/>
    <w:rsid w:val="00280088"/>
    <w:rsid w:val="0028487E"/>
    <w:rsid w:val="002A5917"/>
    <w:rsid w:val="002B39DC"/>
    <w:rsid w:val="002C548E"/>
    <w:rsid w:val="002F6002"/>
    <w:rsid w:val="00325B73"/>
    <w:rsid w:val="00357E5A"/>
    <w:rsid w:val="00391B29"/>
    <w:rsid w:val="00394833"/>
    <w:rsid w:val="003D74EF"/>
    <w:rsid w:val="003F0774"/>
    <w:rsid w:val="00425B72"/>
    <w:rsid w:val="00447A8C"/>
    <w:rsid w:val="004704A6"/>
    <w:rsid w:val="004A6CC8"/>
    <w:rsid w:val="004F4889"/>
    <w:rsid w:val="00521E5F"/>
    <w:rsid w:val="005449F7"/>
    <w:rsid w:val="0056097E"/>
    <w:rsid w:val="00587ACA"/>
    <w:rsid w:val="005972E2"/>
    <w:rsid w:val="00601FC3"/>
    <w:rsid w:val="00631E30"/>
    <w:rsid w:val="00642DE0"/>
    <w:rsid w:val="006618C1"/>
    <w:rsid w:val="006747DB"/>
    <w:rsid w:val="00691605"/>
    <w:rsid w:val="006A7146"/>
    <w:rsid w:val="006B1029"/>
    <w:rsid w:val="006C6202"/>
    <w:rsid w:val="00730EDE"/>
    <w:rsid w:val="00736095"/>
    <w:rsid w:val="00787481"/>
    <w:rsid w:val="007925C8"/>
    <w:rsid w:val="0079699D"/>
    <w:rsid w:val="007B4864"/>
    <w:rsid w:val="007B4FF9"/>
    <w:rsid w:val="007F3871"/>
    <w:rsid w:val="0085360E"/>
    <w:rsid w:val="008A281F"/>
    <w:rsid w:val="008D5E21"/>
    <w:rsid w:val="0092110F"/>
    <w:rsid w:val="00940181"/>
    <w:rsid w:val="009511C1"/>
    <w:rsid w:val="009A1188"/>
    <w:rsid w:val="009D5062"/>
    <w:rsid w:val="00A06CFB"/>
    <w:rsid w:val="00A260E4"/>
    <w:rsid w:val="00A31B5E"/>
    <w:rsid w:val="00A60112"/>
    <w:rsid w:val="00A67558"/>
    <w:rsid w:val="00A753AA"/>
    <w:rsid w:val="00A816C2"/>
    <w:rsid w:val="00AA2698"/>
    <w:rsid w:val="00AA2E24"/>
    <w:rsid w:val="00AD2353"/>
    <w:rsid w:val="00AD7088"/>
    <w:rsid w:val="00AF6759"/>
    <w:rsid w:val="00B20F38"/>
    <w:rsid w:val="00B358E8"/>
    <w:rsid w:val="00B41FDA"/>
    <w:rsid w:val="00B463F9"/>
    <w:rsid w:val="00B77600"/>
    <w:rsid w:val="00B93015"/>
    <w:rsid w:val="00BB7772"/>
    <w:rsid w:val="00BC0659"/>
    <w:rsid w:val="00BC4569"/>
    <w:rsid w:val="00C06649"/>
    <w:rsid w:val="00C10174"/>
    <w:rsid w:val="00C12820"/>
    <w:rsid w:val="00C22509"/>
    <w:rsid w:val="00C4573E"/>
    <w:rsid w:val="00C73F71"/>
    <w:rsid w:val="00CE15A5"/>
    <w:rsid w:val="00D1799A"/>
    <w:rsid w:val="00D66CDD"/>
    <w:rsid w:val="00D66D2B"/>
    <w:rsid w:val="00D75659"/>
    <w:rsid w:val="00D94429"/>
    <w:rsid w:val="00DA745E"/>
    <w:rsid w:val="00DC3E14"/>
    <w:rsid w:val="00DE4E3F"/>
    <w:rsid w:val="00E02F78"/>
    <w:rsid w:val="00E26E48"/>
    <w:rsid w:val="00E32C4A"/>
    <w:rsid w:val="00E42055"/>
    <w:rsid w:val="00E66A72"/>
    <w:rsid w:val="00E7543F"/>
    <w:rsid w:val="00EA04D5"/>
    <w:rsid w:val="00EC18F6"/>
    <w:rsid w:val="00EC4758"/>
    <w:rsid w:val="00ED4E06"/>
    <w:rsid w:val="00EF2CB1"/>
    <w:rsid w:val="00F13842"/>
    <w:rsid w:val="00F44491"/>
    <w:rsid w:val="00F54B84"/>
    <w:rsid w:val="00F64A31"/>
    <w:rsid w:val="00F74F77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3F06-A99B-4D65-A81E-8EB2D4C4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w.marciniak</cp:lastModifiedBy>
  <cp:revision>10</cp:revision>
  <cp:lastPrinted>2018-02-23T11:10:00Z</cp:lastPrinted>
  <dcterms:created xsi:type="dcterms:W3CDTF">2018-01-04T09:24:00Z</dcterms:created>
  <dcterms:modified xsi:type="dcterms:W3CDTF">2018-02-23T11:10:00Z</dcterms:modified>
</cp:coreProperties>
</file>